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STONEHILL CAPITAL</w:t>
              </w:r>
            </w:hyperlink>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6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Veradigm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MDRX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74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6"/>
            <w:vMerge w:val="continue"/>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520" w:type="dxa"/>
            <w:vAlign w:val="bottom"/>
            <w:tcBorders>
              <w:bottom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6"/>
            <w:vMerge w:val="continue"/>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gridSpan w:val="2"/>
            <w:vMerge w:val="restart"/>
          </w:tcPr>
          <w:p>
            <w:pPr>
              <w:ind w:left="400"/>
              <w:spacing w:after="0"/>
              <w:rPr>
                <w:sz w:val="20"/>
                <w:szCs w:val="20"/>
                <w:color w:val="auto"/>
              </w:rPr>
            </w:pPr>
            <w:r>
              <w:rPr>
                <w:rFonts w:ascii="Arial" w:cs="Arial" w:eastAsia="Arial" w:hAnsi="Arial"/>
                <w:sz w:val="13"/>
                <w:szCs w:val="13"/>
                <w:color w:val="auto"/>
              </w:rPr>
              <w:t>Director</w:t>
            </w:r>
          </w:p>
        </w:tc>
        <w:tc>
          <w:tcPr>
            <w:tcW w:w="420" w:type="dxa"/>
            <w:vAlign w:val="bottom"/>
          </w:tcPr>
          <w:p>
            <w:pPr>
              <w:spacing w:after="0"/>
              <w:rPr>
                <w:sz w:val="5"/>
                <w:szCs w:val="5"/>
                <w:color w:val="auto"/>
              </w:rPr>
            </w:pPr>
          </w:p>
        </w:tc>
        <w:tc>
          <w:tcPr>
            <w:tcW w:w="1260" w:type="dxa"/>
            <w:vAlign w:val="bottom"/>
            <w:gridSpan w:val="4"/>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0" w:type="dxa"/>
            <w:vAlign w:val="bottom"/>
            <w:tcBorders>
              <w:top w:val="single" w:sz="8" w:color="0000EE"/>
            </w:tcBorders>
            <w:gridSpan w:val="4"/>
            <w:vMerge w:val="restart"/>
          </w:tcPr>
          <w:p>
            <w:pPr>
              <w:spacing w:after="0" w:line="20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MANAGEMENT LLC</w:t>
              </w:r>
            </w:hyperlink>
          </w:p>
        </w:tc>
        <w:tc>
          <w:tcPr>
            <w:tcW w:w="12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12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Borders>
              <w:bottom w:val="single" w:sz="8" w:color="0000EE"/>
            </w:tcBorders>
            <w:gridSpan w:val="4"/>
            <w:vMerge w:val="continue"/>
          </w:tcPr>
          <w:p>
            <w:pPr>
              <w:spacing w:after="0"/>
              <w:rPr>
                <w:sz w:val="12"/>
                <w:szCs w:val="12"/>
                <w:color w:val="auto"/>
              </w:rPr>
            </w:pPr>
          </w:p>
        </w:tc>
        <w:tc>
          <w:tcPr>
            <w:tcW w:w="300" w:type="dxa"/>
            <w:vAlign w:val="bottom"/>
            <w:gridSpan w:val="2"/>
            <w:vMerge w:val="restart"/>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2"/>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420" w:type="dxa"/>
            <w:vAlign w:val="bottom"/>
          </w:tcPr>
          <w:p>
            <w:pPr>
              <w:spacing w:after="0"/>
              <w:rPr>
                <w:sz w:val="12"/>
                <w:szCs w:val="12"/>
                <w:color w:val="auto"/>
              </w:rPr>
            </w:pPr>
          </w:p>
        </w:tc>
        <w:tc>
          <w:tcPr>
            <w:tcW w:w="1260" w:type="dxa"/>
            <w:vAlign w:val="bottom"/>
            <w:gridSpan w:val="4"/>
            <w:vMerge w:val="restart"/>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gridSpan w:val="4"/>
          </w:tcPr>
          <w:p>
            <w:pPr>
              <w:spacing w:after="0"/>
              <w:rPr>
                <w:sz w:val="3"/>
                <w:szCs w:val="3"/>
                <w:color w:val="auto"/>
              </w:rPr>
            </w:pPr>
          </w:p>
        </w:tc>
        <w:tc>
          <w:tcPr>
            <w:tcW w:w="30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0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40" w:type="dxa"/>
            <w:vAlign w:val="bottom"/>
            <w:gridSpan w:val="2"/>
          </w:tcPr>
          <w:p>
            <w:pPr>
              <w:ind w:left="400"/>
              <w:spacing w:after="0" w:line="87" w:lineRule="exact"/>
              <w:rPr>
                <w:sz w:val="20"/>
                <w:szCs w:val="20"/>
                <w:color w:val="auto"/>
              </w:rPr>
            </w:pPr>
            <w:r>
              <w:rPr>
                <w:rFonts w:ascii="Arial" w:cs="Arial" w:eastAsia="Arial" w:hAnsi="Arial"/>
                <w:sz w:val="10"/>
                <w:szCs w:val="10"/>
                <w:color w:val="auto"/>
              </w:rPr>
              <w:t>below)</w:t>
            </w:r>
          </w:p>
        </w:tc>
        <w:tc>
          <w:tcPr>
            <w:tcW w:w="420" w:type="dxa"/>
            <w:vAlign w:val="bottom"/>
          </w:tcPr>
          <w:p>
            <w:pPr>
              <w:spacing w:after="0"/>
              <w:rPr>
                <w:sz w:val="11"/>
                <w:szCs w:val="11"/>
                <w:color w:val="auto"/>
              </w:rPr>
            </w:pPr>
          </w:p>
        </w:tc>
        <w:tc>
          <w:tcPr>
            <w:tcW w:w="480" w:type="dxa"/>
            <w:vAlign w:val="bottom"/>
          </w:tcPr>
          <w:p>
            <w:pPr>
              <w:spacing w:after="0" w:line="87" w:lineRule="exact"/>
              <w:rPr>
                <w:sz w:val="20"/>
                <w:szCs w:val="20"/>
                <w:color w:val="auto"/>
              </w:rPr>
            </w:pPr>
            <w:r>
              <w:rPr>
                <w:rFonts w:ascii="Arial" w:cs="Arial" w:eastAsia="Arial" w:hAnsi="Arial"/>
                <w:sz w:val="10"/>
                <w:szCs w:val="10"/>
                <w:color w:val="auto"/>
              </w:rPr>
              <w:t>below)</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52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180" w:type="dxa"/>
            <w:vAlign w:val="bottom"/>
            <w:tcBorders>
              <w:top w:val="single" w:sz="8" w:color="EEEEEE"/>
            </w:tcBorders>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00" w:type="dxa"/>
            <w:vAlign w:val="bottom"/>
            <w:gridSpan w:val="9"/>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2"/>
                <w:szCs w:val="22"/>
                <w:color w:val="auto"/>
              </w:rPr>
            </w:pPr>
          </w:p>
        </w:tc>
        <w:tc>
          <w:tcPr>
            <w:tcW w:w="112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128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06/01/2026</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320 PARK AVENUE</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26TH FLOOR</w:t>
            </w: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160" w:type="dxa"/>
            <w:vAlign w:val="bottom"/>
            <w:tcBorders>
              <w:bottom w:val="single" w:sz="8" w:color="2C2C2C"/>
            </w:tcBorders>
            <w:gridSpan w:val="5"/>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3100" w:type="dxa"/>
            <w:vAlign w:val="bottom"/>
            <w:tcBorders>
              <w:bottom w:val="single" w:sz="8" w:color="2C2C2C"/>
            </w:tcBorders>
            <w:gridSpan w:val="5"/>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80" w:type="dxa"/>
            <w:vAlign w:val="bottom"/>
            <w:gridSpan w:val="10"/>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6"/>
                <w:szCs w:val="16"/>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gridSpan w:val="3"/>
          </w:tcPr>
          <w:p>
            <w:pPr>
              <w:ind w:left="80"/>
              <w:spacing w:after="0" w:line="146" w:lineRule="exact"/>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20" w:type="dxa"/>
            <w:vAlign w:val="bottom"/>
            <w:gridSpan w:val="7"/>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3220" w:type="dxa"/>
            <w:vAlign w:val="bottom"/>
            <w:gridSpan w:val="7"/>
            <w:vMerge w:val="restart"/>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10022</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gridSpan w:val="2"/>
          </w:tcPr>
          <w:p>
            <w:pPr>
              <w:ind w:left="400"/>
              <w:spacing w:after="0"/>
              <w:rPr>
                <w:sz w:val="20"/>
                <w:szCs w:val="20"/>
                <w:color w:val="auto"/>
              </w:rPr>
            </w:pPr>
            <w:r>
              <w:rPr>
                <w:rFonts w:ascii="Arial" w:cs="Arial" w:eastAsia="Arial" w:hAnsi="Arial"/>
                <w:sz w:val="13"/>
                <w:szCs w:val="13"/>
                <w:color w:val="auto"/>
              </w:rPr>
              <w:t>Person</w:t>
            </w: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gridSpan w:val="2"/>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3"/>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52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540" w:type="dxa"/>
            <w:vAlign w:val="bottom"/>
            <w:tcBorders>
              <w:bottom w:val="single" w:sz="8" w:color="2C2C2C"/>
            </w:tcBorders>
            <w:gridSpan w:val="2"/>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22"/>
          </w:tcPr>
          <w:p>
            <w:pPr>
              <w:ind w:lef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60" w:type="dxa"/>
            <w:vAlign w:val="bottom"/>
          </w:tcPr>
          <w:p>
            <w:pPr>
              <w:spacing w:after="0"/>
              <w:rPr>
                <w:sz w:val="15"/>
                <w:szCs w:val="15"/>
                <w:color w:val="auto"/>
              </w:rPr>
            </w:pP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280" w:type="dxa"/>
            <w:vAlign w:val="bottom"/>
            <w:gridSpan w:val="6"/>
          </w:tcPr>
          <w:p>
            <w:pPr>
              <w:ind w:left="16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60" w:type="dxa"/>
            <w:vAlign w:val="bottom"/>
          </w:tcPr>
          <w:p>
            <w:pPr>
              <w:spacing w:after="0"/>
              <w:rPr>
                <w:sz w:val="15"/>
                <w:szCs w:val="15"/>
                <w:color w:val="auto"/>
              </w:rPr>
            </w:pP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3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1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80" w:type="dxa"/>
            <w:vAlign w:val="bottom"/>
            <w:gridSpan w:val="6"/>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20" w:type="dxa"/>
            <w:vAlign w:val="bottom"/>
            <w:gridSpan w:val="7"/>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 or</w:t>
            </w:r>
          </w:p>
        </w:tc>
        <w:tc>
          <w:tcPr>
            <w:tcW w:w="420" w:type="dxa"/>
            <w:vAlign w:val="bottom"/>
          </w:tcPr>
          <w:p>
            <w:pPr>
              <w:spacing w:after="0"/>
              <w:rPr>
                <w:sz w:val="11"/>
                <w:szCs w:val="11"/>
                <w:color w:val="auto"/>
              </w:rPr>
            </w:pPr>
          </w:p>
        </w:tc>
        <w:tc>
          <w:tcPr>
            <w:tcW w:w="12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6"/>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Owned Following  Indirect (I)</w:t>
            </w:r>
          </w:p>
        </w:tc>
        <w:tc>
          <w:tcPr>
            <w:tcW w:w="12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8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1160" w:type="dxa"/>
            <w:vAlign w:val="bottom"/>
            <w:gridSpan w:val="2"/>
            <w:vMerge w:val="restart"/>
          </w:tcPr>
          <w:p>
            <w:pPr>
              <w:ind w:left="380"/>
              <w:spacing w:after="0" w:line="133" w:lineRule="exact"/>
              <w:rPr>
                <w:sz w:val="20"/>
                <w:szCs w:val="20"/>
                <w:color w:val="auto"/>
              </w:rPr>
            </w:pPr>
            <w:r>
              <w:rPr>
                <w:rFonts w:ascii="Arial" w:cs="Arial" w:eastAsia="Arial" w:hAnsi="Arial"/>
                <w:sz w:val="12"/>
                <w:szCs w:val="12"/>
                <w:b w:val="1"/>
                <w:bCs w:val="1"/>
                <w:color w:val="auto"/>
              </w:rPr>
              <w:t>(Instr. 4)</w:t>
            </w:r>
          </w:p>
        </w:tc>
        <w:tc>
          <w:tcPr>
            <w:tcW w:w="1260" w:type="dxa"/>
            <w:vAlign w:val="bottom"/>
            <w:gridSpan w:val="4"/>
            <w:vMerge w:val="restart"/>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240" w:type="dxa"/>
            <w:vAlign w:val="bottom"/>
            <w:gridSpan w:val="4"/>
            <w:vMerge w:val="restart"/>
          </w:tcPr>
          <w:p>
            <w:pPr>
              <w:ind w:left="380"/>
              <w:spacing w:after="0"/>
              <w:rPr>
                <w:sz w:val="20"/>
                <w:szCs w:val="20"/>
                <w:color w:val="auto"/>
              </w:rPr>
            </w:pPr>
            <w:r>
              <w:rPr>
                <w:rFonts w:ascii="Times New Roman" w:cs="Times New Roman" w:eastAsia="Times New Roman" w:hAnsi="Times New Roman"/>
                <w:sz w:val="17"/>
                <w:szCs w:val="17"/>
                <w:color w:val="0000FF"/>
              </w:rPr>
              <w:t>06/01/2026</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42,507</w:t>
            </w:r>
            <w:r>
              <w:rPr>
                <w:rFonts w:ascii="Times New Roman" w:cs="Times New Roman" w:eastAsia="Times New Roman" w:hAnsi="Times New Roman"/>
                <w:sz w:val="22"/>
                <w:szCs w:val="22"/>
                <w:color w:val="008000"/>
                <w:vertAlign w:val="superscript"/>
              </w:rPr>
              <w:t>(1)</w:t>
            </w:r>
          </w:p>
        </w:tc>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vMerge w:val="restart"/>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Pr>
          <w:p>
            <w:pPr>
              <w:spacing w:after="0"/>
              <w:rPr>
                <w:sz w:val="21"/>
                <w:szCs w:val="21"/>
                <w:color w:val="auto"/>
              </w:rPr>
            </w:pPr>
          </w:p>
        </w:tc>
        <w:tc>
          <w:tcPr>
            <w:tcW w:w="820" w:type="dxa"/>
            <w:vAlign w:val="bottom"/>
            <w:gridSpan w:val="2"/>
            <w:vMerge w:val="restart"/>
          </w:tcPr>
          <w:p>
            <w:pPr>
              <w:jc w:val="center"/>
              <w:ind w:left="233"/>
              <w:spacing w:after="0"/>
              <w:rPr>
                <w:sz w:val="20"/>
                <w:szCs w:val="20"/>
                <w:color w:val="auto"/>
              </w:rPr>
            </w:pPr>
            <w:r>
              <w:rPr>
                <w:rFonts w:ascii="Times New Roman" w:cs="Times New Roman" w:eastAsia="Times New Roman" w:hAnsi="Times New Roman"/>
                <w:sz w:val="17"/>
                <w:szCs w:val="17"/>
                <w:color w:val="0000FF"/>
                <w:w w:val="98"/>
              </w:rPr>
              <w:t>97,715</w:t>
            </w:r>
          </w:p>
        </w:tc>
        <w:tc>
          <w:tcPr>
            <w:tcW w:w="740" w:type="dxa"/>
            <w:vAlign w:val="bottom"/>
          </w:tcPr>
          <w:p>
            <w:pPr>
              <w:spacing w:after="0"/>
              <w:rPr>
                <w:sz w:val="21"/>
                <w:szCs w:val="21"/>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4"/>
            <w:vMerge w:val="continue"/>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12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tcBorders>
              <w:top w:val="single" w:sz="8" w:color="2C2C2C"/>
            </w:tcBorders>
            <w:gridSpan w:val="8"/>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0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1560" w:type="dxa"/>
            <w:vAlign w:val="bottom"/>
            <w:tcBorders>
              <w:top w:val="single" w:sz="8" w:color="2C2C2C"/>
            </w:tcBorders>
            <w:gridSpan w:val="3"/>
            <w:vMerge w:val="restart"/>
          </w:tcPr>
          <w:p>
            <w:pPr>
              <w:jc w:val="center"/>
              <w:ind w:right="360"/>
              <w:spacing w:after="0"/>
              <w:rPr>
                <w:sz w:val="20"/>
                <w:szCs w:val="20"/>
                <w:color w:val="auto"/>
              </w:rPr>
            </w:pPr>
            <w:r>
              <w:rPr>
                <w:rFonts w:ascii="Times New Roman" w:cs="Times New Roman" w:eastAsia="Times New Roman" w:hAnsi="Times New Roman"/>
                <w:sz w:val="17"/>
                <w:szCs w:val="17"/>
                <w:color w:val="0000FF"/>
              </w:rPr>
              <w:t>9,612,586</w:t>
            </w:r>
          </w:p>
        </w:tc>
        <w:tc>
          <w:tcPr>
            <w:tcW w:w="4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80" w:type="dxa"/>
            <w:vAlign w:val="bottom"/>
            <w:tcBorders>
              <w:top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2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tcBorders>
              <w:top w:val="single" w:sz="8" w:color="2C2C2C"/>
            </w:tcBorders>
            <w:gridSpan w:val="8"/>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0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1560" w:type="dxa"/>
            <w:vAlign w:val="bottom"/>
            <w:tcBorders>
              <w:top w:val="single" w:sz="8" w:color="2C2C2C"/>
            </w:tcBorders>
            <w:gridSpan w:val="3"/>
            <w:vMerge w:val="restart"/>
          </w:tcPr>
          <w:p>
            <w:pPr>
              <w:jc w:val="center"/>
              <w:ind w:right="360"/>
              <w:spacing w:after="0"/>
              <w:rPr>
                <w:sz w:val="20"/>
                <w:szCs w:val="20"/>
                <w:color w:val="auto"/>
              </w:rPr>
            </w:pPr>
            <w:r>
              <w:rPr>
                <w:rFonts w:ascii="Times New Roman" w:cs="Times New Roman" w:eastAsia="Times New Roman" w:hAnsi="Times New Roman"/>
                <w:sz w:val="17"/>
                <w:szCs w:val="17"/>
                <w:color w:val="0000FF"/>
              </w:rPr>
              <w:t>11,435,151</w:t>
            </w:r>
          </w:p>
        </w:tc>
        <w:tc>
          <w:tcPr>
            <w:tcW w:w="4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80" w:type="dxa"/>
            <w:vAlign w:val="bottom"/>
            <w:tcBorders>
              <w:top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2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gridSpan w:val="2"/>
            <w:vMerge w:val="continue"/>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980" w:type="dxa"/>
            <w:vAlign w:val="bottom"/>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980" w:type="dxa"/>
            <w:vAlign w:val="bottom"/>
            <w:gridSpan w:val="18"/>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w w:val="98"/>
              </w:rPr>
              <w:t>3. Transaction</w:t>
            </w:r>
          </w:p>
        </w:tc>
        <w:tc>
          <w:tcPr>
            <w:tcW w:w="260" w:type="dxa"/>
            <w:vAlign w:val="bottom"/>
          </w:tcPr>
          <w:p>
            <w:pPr>
              <w:spacing w:after="0"/>
              <w:rPr>
                <w:sz w:val="15"/>
                <w:szCs w:val="15"/>
                <w:color w:val="auto"/>
              </w:rPr>
            </w:pP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740" w:type="dxa"/>
            <w:vAlign w:val="bottom"/>
          </w:tcPr>
          <w:p>
            <w:pPr>
              <w:spacing w:after="0"/>
              <w:rPr>
                <w:sz w:val="20"/>
                <w:szCs w:val="20"/>
                <w:color w:val="auto"/>
              </w:rPr>
            </w:pPr>
            <w:r>
              <w:rPr>
                <w:rFonts w:ascii="Arial" w:cs="Arial" w:eastAsia="Arial" w:hAnsi="Arial"/>
                <w:sz w:val="12"/>
                <w:szCs w:val="12"/>
                <w:b w:val="1"/>
                <w:bCs w:val="1"/>
                <w:color w:val="auto"/>
                <w:w w:val="98"/>
              </w:rPr>
              <w:t>9. Number of</w:t>
            </w:r>
          </w:p>
        </w:tc>
        <w:tc>
          <w:tcPr>
            <w:tcW w:w="4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Date</w:t>
            </w:r>
          </w:p>
        </w:tc>
        <w:tc>
          <w:tcPr>
            <w:tcW w:w="26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7"/>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4"/>
          </w:tcPr>
          <w:p>
            <w:pPr>
              <w:ind w:left="80"/>
              <w:spacing w:after="0"/>
              <w:rPr>
                <w:sz w:val="20"/>
                <w:szCs w:val="20"/>
                <w:color w:val="auto"/>
              </w:rPr>
            </w:pPr>
            <w:r>
              <w:rPr>
                <w:rFonts w:ascii="Arial" w:cs="Arial" w:eastAsia="Arial" w:hAnsi="Arial"/>
                <w:sz w:val="12"/>
                <w:szCs w:val="12"/>
                <w:b w:val="1"/>
                <w:bCs w:val="1"/>
                <w:color w:val="auto"/>
              </w:rPr>
              <w:t>(A)   (D)</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5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30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120" w:type="dxa"/>
            <w:vAlign w:val="bottom"/>
            <w:tcBorders>
              <w:top w:val="single" w:sz="8" w:color="808080"/>
            </w:tcBorders>
            <w:shd w:val="clear" w:color="auto" w:fill="2C2C2C"/>
          </w:tcPr>
          <w:p>
            <w:pPr>
              <w:spacing w:after="0" w:line="20" w:lineRule="exact"/>
              <w:rPr>
                <w:sz w:val="1"/>
                <w:szCs w:val="1"/>
                <w:color w:val="auto"/>
              </w:rPr>
            </w:pPr>
          </w:p>
        </w:tc>
        <w:tc>
          <w:tcPr>
            <w:tcW w:w="180" w:type="dxa"/>
            <w:vAlign w:val="bottom"/>
            <w:tcBorders>
              <w:top w:val="single" w:sz="8" w:color="808080"/>
            </w:tcBorders>
            <w:shd w:val="clear" w:color="auto" w:fill="2C2C2C"/>
          </w:tcPr>
          <w:p>
            <w:pPr>
              <w:spacing w:after="0" w:line="20" w:lineRule="exact"/>
              <w:rPr>
                <w:sz w:val="1"/>
                <w:szCs w:val="1"/>
                <w:color w:val="auto"/>
              </w:rPr>
            </w:pPr>
          </w:p>
        </w:tc>
        <w:tc>
          <w:tcPr>
            <w:tcW w:w="26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4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STONEHILL CAPITAL MANAGEMENT</w:t>
        </w:r>
      </w:hyperlink>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LLC</w:t>
        </w:r>
      </w:hyperlink>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26TH FLOOR</w:t>
      </w:r>
    </w:p>
    <w:p>
      <w:pPr>
        <w:spacing w:after="0" w:line="29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STONEHILL MASTER FUND LTD.</w:t>
        </w:r>
      </w:hyperlink>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STONEHILL CAPITAL MANAGEMENT LLC</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320 PARK AVENUE, 26TH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STONEHILL INSTITUTIONAL PARTNERS</w:t>
        </w:r>
      </w:hyperlink>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STONEHILL CAPITAL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320 PARK AVENUE, 26TH FLOOR</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MOTULSKY JOHN</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STONEHILL CAPITAL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320 PARK AVENUE, 26TH FLOOR</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gridSpan w:val="2"/>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SISITSKY PETER</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STONEHILL CAPITAL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320 PARK AVENUE, 26TH FLOOR</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THOYER MICHAEL</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STONEHILL CAPITAL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320 PARK AVENUE, 26TH FLOOR</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gridSpan w:val="2"/>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Stern Michael Lenard</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STONEHILL CAPITAL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320 PARK AVENUE, 26TH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9979"/>
          </w:cols>
          <w:pgMar w:left="480" w:top="125" w:right="1440" w:bottom="0" w:gutter="0" w:footer="0" w:header="0"/>
        </w:sectPr>
      </w:pPr>
    </w:p>
    <w:p>
      <w:pPr>
        <w:ind w:left="100"/>
        <w:spacing w:after="0"/>
        <w:rPr>
          <w:rFonts w:ascii="Times New Roman" w:cs="Times New Roman" w:eastAsia="Times New Roman" w:hAnsi="Times New Roman"/>
          <w:sz w:val="21"/>
          <w:szCs w:val="21"/>
          <w:u w:val="single" w:color="auto"/>
          <w:color w:val="0000EE"/>
        </w:rPr>
      </w:pPr>
      <w:hyperlink r:id="rId23">
        <w:r>
          <w:rPr>
            <w:rFonts w:ascii="Times New Roman" w:cs="Times New Roman" w:eastAsia="Times New Roman" w:hAnsi="Times New Roman"/>
            <w:sz w:val="21"/>
            <w:szCs w:val="21"/>
            <w:u w:val="single" w:color="auto"/>
            <w:color w:val="0000EE"/>
          </w:rPr>
          <w:t>Arora Samir</w:t>
        </w:r>
      </w:hyperlink>
    </w:p>
    <w:p>
      <w:pPr>
        <w:sectPr>
          <w:pgSz w:w="11900" w:h="16838" w:orient="portrait"/>
          <w:cols w:equalWidth="0" w:num="1">
            <w:col w:w="9979"/>
          </w:cols>
          <w:pgMar w:left="480" w:top="125" w:right="1440" w:bottom="0" w:gutter="0" w:footer="0" w:header="0"/>
          <w:type w:val="continuous"/>
        </w:sectPr>
      </w:pPr>
    </w:p>
    <w:bookmarkStart w:id="2" w:name="page3"/>
    <w:bookmarkEnd w:id="2"/>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3075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2809240" cy="3075940"/>
                    </a:xfrm>
                    <a:prstGeom prst="rect">
                      <a:avLst/>
                    </a:prstGeom>
                    <a:noFill/>
                  </pic:spPr>
                </pic:pic>
              </a:graphicData>
            </a:graphic>
          </wp:anchor>
        </w:drawing>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STONEHILL CAPITAL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320 PARK AVENUE, 26TH FLOOR</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2"/>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5">
              <w:r>
                <w:rPr>
                  <w:rFonts w:ascii="Times New Roman" w:cs="Times New Roman" w:eastAsia="Times New Roman" w:hAnsi="Times New Roman"/>
                  <w:sz w:val="21"/>
                  <w:szCs w:val="21"/>
                  <w:color w:val="0000EE"/>
                </w:rPr>
                <w:t>Zwahlen Garrett</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STONEHILL CAPITAL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320 PARK AVENUE, 26TH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granted under the Veradigm, Inc. Amended and Restated 2024 Stock Incentive Plan on June 1, 2026 (the "Grant Date"). The grant vests 100% on the first anniversary of the Grant Date.</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Jonathan Sacks.</w:t>
      </w:r>
    </w:p>
    <w:p>
      <w:pPr>
        <w:spacing w:after="0" w:line="50" w:lineRule="exact"/>
        <w:rPr>
          <w:rFonts w:ascii="Times New Roman" w:cs="Times New Roman" w:eastAsia="Times New Roman" w:hAnsi="Times New Roman"/>
          <w:sz w:val="13"/>
          <w:szCs w:val="13"/>
          <w:color w:val="008000"/>
        </w:rPr>
      </w:pPr>
    </w:p>
    <w:p>
      <w:pPr>
        <w:jc w:val="both"/>
        <w:ind w:left="20" w:right="14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Stonehill Capital Management LLC ("Management") is the manager of Stonehill Institutional Partners, L.P. (the "Fund") and Stonehill Master Fund Ltd (the "Master Fund"). John Motulsky, Jonathan Sacks, Peter Sisitsky, Michael Thoyer, Michael Stern, Samir Arora and Garrett Zwahlen are the managing members of Management. The reporting persons disclaim beneficial ownership of the reported securities except to the extent of any pecuniary interests therein, and this report shall not be deemed an admission that the reporting persons are the beneficial owner of the securities for purposes of Section 16 or for any other purpose.</w:t>
      </w:r>
    </w:p>
    <w:p>
      <w:pPr>
        <w:spacing w:after="0" w:line="24"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the Master Fund.</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the Fund.</w:t>
      </w:r>
    </w:p>
    <w:p>
      <w:pPr>
        <w:sectPr>
          <w:pgSz w:w="11900" w:h="16838" w:orient="portrait"/>
          <w:cols w:equalWidth="0" w:num="1">
            <w:col w:w="10900"/>
          </w:cols>
          <w:pgMar w:left="480" w:top="167" w:right="519" w:bottom="1440" w:gutter="0" w:footer="0" w:header="0"/>
        </w:sectPr>
      </w:pPr>
    </w:p>
    <w:p>
      <w:pPr>
        <w:spacing w:after="0" w:line="7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Paul Malek - Stonehill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245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1245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Capital Management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00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Paul Malek,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41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Paul Malek - Stonehill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245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1245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Master Fund Ltd., by: 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Malek,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58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Paul Malek - Stonehill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245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1245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Institutional Partners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85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Paul Malek,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41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3" w:lineRule="exact"/>
        <w:rPr>
          <w:sz w:val="20"/>
          <w:szCs w:val="20"/>
          <w:color w:val="auto"/>
        </w:rPr>
      </w:pPr>
    </w:p>
    <w:p>
      <w:pPr>
        <w:sectPr>
          <w:pgSz w:w="11900" w:h="16838" w:orient="portrait"/>
          <w:cols w:equalWidth="0" w:num="2">
            <w:col w:w="8700" w:space="60"/>
            <w:col w:w="2140"/>
          </w:cols>
          <w:pgMar w:left="480" w:top="167" w:right="519" w:bottom="1440" w:gutter="0" w:footer="0" w:header="0"/>
          <w:type w:val="continuous"/>
        </w:sectPr>
      </w:pPr>
    </w:p>
    <w:p>
      <w:pPr>
        <w:ind w:left="6560"/>
        <w:spacing w:after="0" w:line="184" w:lineRule="auto"/>
        <w:rPr>
          <w:sz w:val="20"/>
          <w:szCs w:val="20"/>
          <w:color w:val="auto"/>
        </w:rPr>
      </w:pPr>
      <w:r>
        <w:rPr>
          <w:rFonts w:ascii="Times New Roman" w:cs="Times New Roman" w:eastAsia="Times New Roman" w:hAnsi="Times New Roman"/>
          <w:sz w:val="17"/>
          <w:szCs w:val="17"/>
          <w:color w:val="0000FF"/>
        </w:rPr>
        <w:t xml:space="preserve">/s/ Paul Malek, as Attorney-in- </w:t>
      </w:r>
      <w:r>
        <w:rPr>
          <w:rFonts w:ascii="Times New Roman" w:cs="Times New Roman" w:eastAsia="Times New Roman" w:hAnsi="Times New Roman"/>
          <w:sz w:val="33"/>
          <w:szCs w:val="33"/>
          <w:color w:val="0000FF"/>
          <w:vertAlign w:val="subscript"/>
        </w:rPr>
        <w:t>06/03/2026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595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 for John Motulsky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0299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02997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Paul Malek, as Attorney-in- </w:t>
      </w:r>
      <w:r>
        <w:rPr>
          <w:rFonts w:ascii="Times New Roman" w:cs="Times New Roman" w:eastAsia="Times New Roman" w:hAnsi="Times New Roman"/>
          <w:sz w:val="32"/>
          <w:szCs w:val="32"/>
          <w:color w:val="0000FF"/>
          <w:vertAlign w:val="subscript"/>
        </w:rPr>
        <w:t>06/03/2026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595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 for Peter Sisitsky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974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97472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Paul Malek, as Attorney-in- </w:t>
      </w:r>
      <w:r>
        <w:rPr>
          <w:rFonts w:ascii="Times New Roman" w:cs="Times New Roman" w:eastAsia="Times New Roman" w:hAnsi="Times New Roman"/>
          <w:sz w:val="32"/>
          <w:szCs w:val="32"/>
          <w:color w:val="0000FF"/>
          <w:vertAlign w:val="subscript"/>
        </w:rPr>
        <w:t>06/03/2026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595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 for Michael Thoyer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0782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07823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Paul Malek, as Attorney-in- </w:t>
      </w:r>
      <w:r>
        <w:rPr>
          <w:rFonts w:ascii="Times New Roman" w:cs="Times New Roman" w:eastAsia="Times New Roman" w:hAnsi="Times New Roman"/>
          <w:sz w:val="32"/>
          <w:szCs w:val="32"/>
          <w:color w:val="0000FF"/>
          <w:vertAlign w:val="subscript"/>
        </w:rPr>
        <w:t>06/03/2026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595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 for Michael Lenard 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3315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33159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Paul Malek, as Attorney-in- </w:t>
      </w:r>
      <w:r>
        <w:rPr>
          <w:rFonts w:ascii="Times New Roman" w:cs="Times New Roman" w:eastAsia="Times New Roman" w:hAnsi="Times New Roman"/>
          <w:sz w:val="32"/>
          <w:szCs w:val="32"/>
          <w:color w:val="0000FF"/>
          <w:vertAlign w:val="subscript"/>
        </w:rPr>
        <w:t>06/03/2026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595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 for Samir Arora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9194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91948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Paul Malek, as Attorney-in- </w:t>
      </w:r>
      <w:r>
        <w:rPr>
          <w:rFonts w:ascii="Times New Roman" w:cs="Times New Roman" w:eastAsia="Times New Roman" w:hAnsi="Times New Roman"/>
          <w:sz w:val="32"/>
          <w:szCs w:val="32"/>
          <w:color w:val="0000FF"/>
          <w:vertAlign w:val="subscript"/>
        </w:rPr>
        <w:t>06/03/2026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595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 for Garrett Zwahlen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0966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09664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67"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24"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13" Type="http://schemas.openxmlformats.org/officeDocument/2006/relationships/hyperlink" Target="http://www.sec.gov/cgi-bin/browse-edgar?action=getcompany&amp;CIK=0001266227" TargetMode="External"/><Relationship Id="rId14" Type="http://schemas.openxmlformats.org/officeDocument/2006/relationships/hyperlink" Target="http://www.sec.gov/cgi-bin/browse-edgar?action=getcompany&amp;CIK=0001124804" TargetMode="External"/><Relationship Id="rId16" Type="http://schemas.openxmlformats.org/officeDocument/2006/relationships/hyperlink" Target="http://www.sec.gov/cgi-bin/browse-edgar?action=getcompany&amp;CIK=0001454870" TargetMode="External"/><Relationship Id="rId18" Type="http://schemas.openxmlformats.org/officeDocument/2006/relationships/hyperlink" Target="http://www.sec.gov/cgi-bin/browse-edgar?action=getcompany&amp;CIK=0001052161" TargetMode="External"/><Relationship Id="rId19" Type="http://schemas.openxmlformats.org/officeDocument/2006/relationships/hyperlink" Target="http://www.sec.gov/cgi-bin/browse-edgar?action=getcompany&amp;CIK=0001266230" TargetMode="External"/><Relationship Id="rId20" Type="http://schemas.openxmlformats.org/officeDocument/2006/relationships/hyperlink" Target="http://www.sec.gov/cgi-bin/browse-edgar?action=getcompany&amp;CIK=0001454846" TargetMode="External"/><Relationship Id="rId21" Type="http://schemas.openxmlformats.org/officeDocument/2006/relationships/hyperlink" Target="http://www.sec.gov/cgi-bin/browse-edgar?action=getcompany&amp;CIK=0001582442" TargetMode="External"/><Relationship Id="rId22" Type="http://schemas.openxmlformats.org/officeDocument/2006/relationships/hyperlink" Target="http://www.sec.gov/cgi-bin/browse-edgar?action=getcompany&amp;CIK=0001600910" TargetMode="External"/><Relationship Id="rId23" Type="http://schemas.openxmlformats.org/officeDocument/2006/relationships/hyperlink" Target="http://www.sec.gov/cgi-bin/browse-edgar?action=getcompany&amp;CIK=0002015106" TargetMode="External"/><Relationship Id="rId25" Type="http://schemas.openxmlformats.org/officeDocument/2006/relationships/hyperlink" Target="http://www.sec.gov/cgi-bin/browse-edgar?action=getcompany&amp;CIK=00020148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2026-06-03T19:56:19Z</dcterms:created>
  <dcterms:modified xsi:type="dcterms:W3CDTF">2026-06-03T19:56:19Z</dcterms:modified>
</cp:coreProperties>
</file>